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1. </w:t>
      </w:r>
      <w:r w:rsidR="00F06A5D" w:rsidRPr="00F06A5D">
        <w:rPr>
          <w:rFonts w:ascii="Times New Roman" w:hAnsi="Times New Roman"/>
          <w:sz w:val="28"/>
          <w:szCs w:val="28"/>
          <w:lang w:val="kk-KZ"/>
        </w:rPr>
        <w:t>Представления о причинах радиационного роста. Радиационный рост конструкционных материалов.</w:t>
      </w:r>
      <w:r w:rsidRPr="001A1C5E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2. </w:t>
      </w:r>
      <w:r w:rsidR="00F06A5D" w:rsidRPr="00F06A5D">
        <w:rPr>
          <w:rFonts w:ascii="Times New Roman" w:hAnsi="Times New Roman"/>
          <w:sz w:val="28"/>
          <w:szCs w:val="28"/>
          <w:lang w:val="kk-KZ"/>
        </w:rPr>
        <w:t xml:space="preserve">Явление газового распухания топливных материалов. Распухание топлива, обусловленное твердыми продуктами </w:t>
      </w:r>
      <w:r w:rsidR="00F06A5D">
        <w:rPr>
          <w:rFonts w:ascii="Times New Roman" w:hAnsi="Times New Roman"/>
          <w:sz w:val="28"/>
          <w:szCs w:val="28"/>
          <w:lang w:val="kk-KZ"/>
        </w:rPr>
        <w:t>деления</w:t>
      </w:r>
      <w:r w:rsidRPr="001A1C5E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</w:t>
      </w:r>
      <w:r w:rsidR="00F06A5D" w:rsidRPr="00F06A5D">
        <w:rPr>
          <w:rFonts w:ascii="Times New Roman" w:hAnsi="Times New Roman"/>
          <w:sz w:val="28"/>
          <w:szCs w:val="28"/>
          <w:lang w:val="kk-KZ"/>
        </w:rPr>
        <w:t>У-алгоритм расчета равновесия двух неизоморфных растворов на T–x фазовой диаграмме</w:t>
      </w:r>
      <w:bookmarkStart w:id="0" w:name="_GoBack"/>
      <w:bookmarkEnd w:id="0"/>
    </w:p>
    <w:p w:rsidR="0001270C" w:rsidRPr="009F6460" w:rsidRDefault="0001270C"/>
    <w:sectPr w:rsidR="0001270C" w:rsidRPr="009F6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60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9F6460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06A5D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9ADB3"/>
  <w15:docId w15:val="{898A893B-F33F-496F-BD7D-26D27A65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46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2020-11-03T20:45:00Z</dcterms:created>
  <dcterms:modified xsi:type="dcterms:W3CDTF">2020-11-23T05:36:00Z</dcterms:modified>
</cp:coreProperties>
</file>